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8F9" w:rsidRPr="00AD78F9" w:rsidRDefault="00AD78F9" w:rsidP="00AD78F9">
      <w:pPr>
        <w:tabs>
          <w:tab w:val="left" w:pos="360"/>
          <w:tab w:val="left" w:pos="1418"/>
        </w:tabs>
        <w:ind w:left="1418" w:right="334" w:hanging="1418"/>
        <w:jc w:val="both"/>
        <w:rPr>
          <w:rFonts w:ascii="Arial" w:hAnsi="Arial" w:cs="Arial"/>
          <w:b/>
          <w:sz w:val="22"/>
          <w:szCs w:val="22"/>
          <w:u w:val="single"/>
        </w:rPr>
      </w:pPr>
      <w:bookmarkStart w:id="0" w:name="_GoBack"/>
      <w:bookmarkEnd w:id="0"/>
      <w:r w:rsidRPr="00AD78F9">
        <w:rPr>
          <w:rFonts w:ascii="Arial" w:hAnsi="Arial" w:cs="Arial"/>
          <w:b/>
          <w:sz w:val="22"/>
          <w:szCs w:val="22"/>
        </w:rPr>
        <w:t>EP. 03.-</w:t>
      </w:r>
      <w:r w:rsidRPr="00AD78F9">
        <w:rPr>
          <w:rFonts w:ascii="Arial" w:hAnsi="Arial" w:cs="Arial"/>
          <w:b/>
          <w:sz w:val="22"/>
          <w:szCs w:val="22"/>
        </w:rPr>
        <w:tab/>
        <w:t>CIMBRA DE CONTACTO ACABADO ESPECIAL.</w:t>
      </w:r>
    </w:p>
    <w:p w:rsidR="00AD78F9" w:rsidRPr="00AD78F9" w:rsidRDefault="00AD78F9" w:rsidP="00AD78F9">
      <w:pPr>
        <w:tabs>
          <w:tab w:val="left" w:pos="360"/>
          <w:tab w:val="left" w:pos="1620"/>
          <w:tab w:val="left" w:pos="2127"/>
        </w:tabs>
        <w:ind w:left="2127" w:right="334" w:hanging="2127"/>
        <w:jc w:val="both"/>
        <w:rPr>
          <w:rFonts w:ascii="Arial" w:hAnsi="Arial" w:cs="Arial"/>
          <w:sz w:val="22"/>
          <w:szCs w:val="22"/>
          <w:u w:val="single"/>
        </w:rPr>
      </w:pPr>
    </w:p>
    <w:p w:rsidR="00AD78F9" w:rsidRPr="00AD78F9" w:rsidRDefault="00AD78F9" w:rsidP="00AD78F9">
      <w:pPr>
        <w:tabs>
          <w:tab w:val="left" w:pos="360"/>
          <w:tab w:val="left" w:pos="1620"/>
          <w:tab w:val="left" w:pos="2127"/>
        </w:tabs>
        <w:ind w:left="2127" w:right="334" w:hanging="2127"/>
        <w:jc w:val="both"/>
        <w:rPr>
          <w:rFonts w:ascii="Arial" w:hAnsi="Arial" w:cs="Arial"/>
          <w:sz w:val="22"/>
          <w:szCs w:val="22"/>
          <w:u w:val="single"/>
        </w:rPr>
      </w:pPr>
    </w:p>
    <w:p w:rsidR="00AD78F9" w:rsidRPr="00AD78F9" w:rsidRDefault="00AD78F9" w:rsidP="00AD78F9">
      <w:pPr>
        <w:autoSpaceDE w:val="0"/>
        <w:autoSpaceDN w:val="0"/>
        <w:adjustRightInd w:val="0"/>
        <w:jc w:val="both"/>
        <w:rPr>
          <w:rFonts w:ascii="Arial" w:eastAsiaTheme="minorHAnsi" w:hAnsi="Arial" w:cs="Arial"/>
          <w:sz w:val="22"/>
          <w:szCs w:val="22"/>
          <w:lang w:val="es-MX" w:eastAsia="en-US"/>
        </w:rPr>
      </w:pPr>
      <w:r w:rsidRPr="00AD78F9">
        <w:rPr>
          <w:rFonts w:ascii="Arial" w:hAnsi="Arial" w:cs="Arial"/>
          <w:b/>
          <w:sz w:val="22"/>
          <w:szCs w:val="22"/>
        </w:rPr>
        <w:t>EJECUCIÓN.-</w:t>
      </w:r>
      <w:r w:rsidRPr="00AD78F9">
        <w:rPr>
          <w:rFonts w:ascii="Arial" w:hAnsi="Arial" w:cs="Arial"/>
          <w:sz w:val="22"/>
          <w:szCs w:val="22"/>
        </w:rPr>
        <w:t xml:space="preserve"> Suministro, habilitado y colocación de cimbra de contacto acabado especial con el acabado y textura indicada en proyecto,</w:t>
      </w:r>
      <w:r w:rsidRPr="00AD78F9">
        <w:rPr>
          <w:rFonts w:ascii="Arial" w:eastAsiaTheme="minorHAnsi" w:hAnsi="Arial" w:cs="Arial"/>
          <w:sz w:val="22"/>
          <w:szCs w:val="22"/>
          <w:lang w:val="es-MX" w:eastAsia="en-US"/>
        </w:rPr>
        <w:t xml:space="preserve"> La elaboración de la cimbra deberá ser tal que no permita el escurrimiento del concreto, por ningún motivo se permitirá el calafateo con papel o cartón mojado. </w:t>
      </w:r>
      <w:r w:rsidRPr="00AD78F9">
        <w:rPr>
          <w:rFonts w:ascii="Arial" w:hAnsi="Arial" w:cs="Arial"/>
          <w:sz w:val="22"/>
          <w:szCs w:val="22"/>
        </w:rPr>
        <w:t>Será de acuerdo con lo indicado en las especificaciones del proyecto.</w:t>
      </w:r>
    </w:p>
    <w:p w:rsidR="00AD78F9" w:rsidRPr="00AD78F9" w:rsidRDefault="00AD78F9" w:rsidP="00AD78F9">
      <w:pPr>
        <w:autoSpaceDE w:val="0"/>
        <w:autoSpaceDN w:val="0"/>
        <w:adjustRightInd w:val="0"/>
        <w:rPr>
          <w:rFonts w:ascii="Arial" w:hAnsi="Arial" w:cs="Arial"/>
          <w:sz w:val="22"/>
          <w:szCs w:val="22"/>
        </w:rPr>
      </w:pPr>
    </w:p>
    <w:p w:rsidR="00AD78F9" w:rsidRPr="00AD78F9" w:rsidRDefault="00AD78F9" w:rsidP="00AD78F9">
      <w:pPr>
        <w:autoSpaceDE w:val="0"/>
        <w:autoSpaceDN w:val="0"/>
        <w:adjustRightInd w:val="0"/>
        <w:jc w:val="both"/>
        <w:rPr>
          <w:rFonts w:ascii="Arial" w:eastAsiaTheme="minorHAnsi" w:hAnsi="Arial" w:cs="Arial"/>
          <w:sz w:val="22"/>
          <w:szCs w:val="22"/>
          <w:lang w:val="es-MX" w:eastAsia="en-US"/>
        </w:rPr>
      </w:pPr>
      <w:r w:rsidRPr="00AD78F9">
        <w:rPr>
          <w:rFonts w:ascii="Arial" w:eastAsiaTheme="minorHAnsi" w:hAnsi="Arial" w:cs="Arial"/>
          <w:sz w:val="22"/>
          <w:szCs w:val="22"/>
          <w:lang w:val="es-MX" w:eastAsia="en-US"/>
        </w:rPr>
        <w:t>La cimbra en general deberá estar bien alineada, con el ancho de sección de proyecto, para el cimbrado en vertical deberá estar bien plomeada y alineada, en ambos casos con el troquel correcto y suficiente para evitar se desalinee por la presión del concreto al ser vaciado y vibrado.</w:t>
      </w:r>
    </w:p>
    <w:p w:rsidR="00AD78F9" w:rsidRPr="00AD78F9" w:rsidRDefault="00AD78F9" w:rsidP="00AD78F9">
      <w:pPr>
        <w:tabs>
          <w:tab w:val="left" w:pos="360"/>
          <w:tab w:val="left" w:pos="1418"/>
          <w:tab w:val="left" w:pos="1620"/>
        </w:tabs>
        <w:ind w:right="-1"/>
        <w:jc w:val="both"/>
        <w:rPr>
          <w:rFonts w:ascii="Arial" w:hAnsi="Arial" w:cs="Arial"/>
          <w:sz w:val="22"/>
          <w:szCs w:val="22"/>
        </w:rPr>
      </w:pPr>
      <w:r w:rsidRPr="00AD78F9">
        <w:rPr>
          <w:rFonts w:ascii="Arial" w:hAnsi="Arial" w:cs="Arial"/>
          <w:sz w:val="22"/>
          <w:szCs w:val="22"/>
        </w:rPr>
        <w:t xml:space="preserve"> </w:t>
      </w:r>
    </w:p>
    <w:p w:rsidR="00AD78F9" w:rsidRPr="00AD78F9" w:rsidRDefault="00AD78F9" w:rsidP="00AD78F9">
      <w:pPr>
        <w:ind w:left="2127" w:right="334" w:hanging="2127"/>
        <w:jc w:val="both"/>
        <w:rPr>
          <w:rFonts w:ascii="Arial" w:hAnsi="Arial" w:cs="Arial"/>
          <w:sz w:val="22"/>
          <w:szCs w:val="22"/>
        </w:rPr>
      </w:pPr>
    </w:p>
    <w:p w:rsidR="00AD78F9" w:rsidRPr="00AD78F9" w:rsidRDefault="00AD78F9" w:rsidP="00AD78F9">
      <w:pPr>
        <w:jc w:val="both"/>
        <w:rPr>
          <w:rFonts w:ascii="Arial" w:hAnsi="Arial" w:cs="Arial"/>
          <w:sz w:val="22"/>
          <w:szCs w:val="22"/>
        </w:rPr>
      </w:pPr>
      <w:r w:rsidRPr="00AD78F9">
        <w:rPr>
          <w:rFonts w:ascii="Arial" w:hAnsi="Arial" w:cs="Arial"/>
          <w:b/>
          <w:sz w:val="22"/>
          <w:szCs w:val="22"/>
        </w:rPr>
        <w:t>MEDICIÓN</w:t>
      </w:r>
      <w:r w:rsidRPr="00AD78F9">
        <w:rPr>
          <w:rFonts w:ascii="Arial" w:hAnsi="Arial" w:cs="Arial"/>
          <w:sz w:val="22"/>
          <w:szCs w:val="22"/>
        </w:rPr>
        <w:t xml:space="preserve">.- </w:t>
      </w:r>
      <w:r w:rsidRPr="00AD78F9">
        <w:rPr>
          <w:rFonts w:ascii="Arial" w:hAnsi="Arial" w:cs="Arial"/>
          <w:bCs/>
          <w:sz w:val="22"/>
          <w:szCs w:val="22"/>
        </w:rPr>
        <w:t>La medición de la cimbra</w:t>
      </w:r>
      <w:r w:rsidRPr="00AD78F9">
        <w:rPr>
          <w:rFonts w:ascii="Arial" w:hAnsi="Arial" w:cs="Arial"/>
          <w:sz w:val="22"/>
          <w:szCs w:val="22"/>
        </w:rPr>
        <w:t xml:space="preserve">, por unidad de obra terminada, </w:t>
      </w:r>
      <w:r w:rsidRPr="00AD78F9">
        <w:rPr>
          <w:rFonts w:ascii="Arial" w:hAnsi="Arial" w:cs="Arial"/>
          <w:bCs/>
          <w:sz w:val="22"/>
          <w:szCs w:val="22"/>
        </w:rPr>
        <w:t xml:space="preserve">se hará tomando como unidad </w:t>
      </w:r>
      <w:r w:rsidRPr="00AD78F9">
        <w:rPr>
          <w:rFonts w:ascii="Arial" w:hAnsi="Arial" w:cs="Arial"/>
          <w:sz w:val="22"/>
          <w:szCs w:val="22"/>
        </w:rPr>
        <w:t>el metro cuadrado (m².) cimbrado.</w:t>
      </w:r>
    </w:p>
    <w:p w:rsidR="00AD78F9" w:rsidRPr="00AD78F9" w:rsidRDefault="00AD78F9" w:rsidP="00AD78F9">
      <w:pPr>
        <w:ind w:left="2127" w:right="334" w:hanging="2127"/>
        <w:jc w:val="both"/>
        <w:rPr>
          <w:rFonts w:ascii="Arial" w:hAnsi="Arial" w:cs="Arial"/>
          <w:sz w:val="22"/>
          <w:szCs w:val="22"/>
        </w:rPr>
      </w:pPr>
    </w:p>
    <w:p w:rsidR="00AD78F9" w:rsidRPr="00AD78F9" w:rsidRDefault="00AD78F9" w:rsidP="00AD78F9">
      <w:pPr>
        <w:ind w:left="2127" w:right="334" w:hanging="2127"/>
        <w:jc w:val="both"/>
        <w:rPr>
          <w:rFonts w:ascii="Arial" w:hAnsi="Arial" w:cs="Arial"/>
          <w:sz w:val="22"/>
          <w:szCs w:val="22"/>
        </w:rPr>
      </w:pPr>
    </w:p>
    <w:p w:rsidR="00AD78F9" w:rsidRPr="00AD78F9" w:rsidRDefault="00AD78F9" w:rsidP="00AD78F9">
      <w:pPr>
        <w:ind w:right="-1"/>
        <w:jc w:val="both"/>
        <w:rPr>
          <w:rFonts w:ascii="Arial" w:hAnsi="Arial" w:cs="Arial"/>
          <w:bCs/>
          <w:sz w:val="22"/>
          <w:szCs w:val="22"/>
        </w:rPr>
      </w:pPr>
      <w:r w:rsidRPr="00AD78F9">
        <w:rPr>
          <w:rFonts w:ascii="Arial" w:hAnsi="Arial" w:cs="Arial"/>
          <w:b/>
          <w:sz w:val="22"/>
          <w:szCs w:val="22"/>
        </w:rPr>
        <w:t>BASE DE PAGO.-</w:t>
      </w:r>
      <w:r w:rsidRPr="00AD78F9">
        <w:rPr>
          <w:rFonts w:ascii="Arial" w:hAnsi="Arial" w:cs="Arial"/>
          <w:sz w:val="22"/>
          <w:szCs w:val="22"/>
        </w:rPr>
        <w:t xml:space="preserve"> </w:t>
      </w:r>
      <w:r w:rsidRPr="00AD78F9">
        <w:rPr>
          <w:rFonts w:ascii="Arial" w:hAnsi="Arial" w:cs="Arial"/>
          <w:bCs/>
          <w:sz w:val="22"/>
          <w:szCs w:val="22"/>
        </w:rPr>
        <w:t xml:space="preserve">La </w:t>
      </w:r>
      <w:r w:rsidRPr="00AD78F9">
        <w:rPr>
          <w:rFonts w:ascii="Arial" w:hAnsi="Arial" w:cs="Arial"/>
          <w:sz w:val="22"/>
          <w:szCs w:val="22"/>
        </w:rPr>
        <w:t xml:space="preserve">colocación de  cimbra de contacto acabado especial, </w:t>
      </w:r>
      <w:r w:rsidRPr="00AD78F9">
        <w:rPr>
          <w:rFonts w:ascii="Arial" w:hAnsi="Arial" w:cs="Arial"/>
          <w:bCs/>
          <w:sz w:val="22"/>
          <w:szCs w:val="22"/>
        </w:rPr>
        <w:t xml:space="preserve">se pagará </w:t>
      </w:r>
      <w:r w:rsidRPr="00AD78F9">
        <w:rPr>
          <w:rFonts w:ascii="Arial" w:hAnsi="Arial" w:cs="Arial"/>
          <w:sz w:val="22"/>
          <w:szCs w:val="22"/>
        </w:rPr>
        <w:t>por m²,</w:t>
      </w:r>
      <w:r w:rsidRPr="00AD78F9">
        <w:rPr>
          <w:rFonts w:ascii="Arial" w:hAnsi="Arial" w:cs="Arial"/>
          <w:bCs/>
          <w:sz w:val="22"/>
          <w:szCs w:val="22"/>
        </w:rPr>
        <w:t xml:space="preserve">   El precio unitario incluye: El suministro de la parte proporcional que corresponda según el número de usos de toda la madera y/o lámina de acero, en la geometría indicada en proyecto, la obra falsa, herrajes, dispositivos de fijación,  chaflanes, desmoldante, soportes de cualquier tipo, y </w:t>
      </w:r>
      <w:r w:rsidRPr="00AD78F9">
        <w:rPr>
          <w:rFonts w:ascii="Arial" w:eastAsiaTheme="minorHAnsi" w:hAnsi="Arial" w:cs="Arial"/>
          <w:sz w:val="22"/>
          <w:szCs w:val="22"/>
          <w:lang w:val="es-MX" w:eastAsia="en-US"/>
        </w:rPr>
        <w:t>demás</w:t>
      </w:r>
      <w:r w:rsidRPr="00AD78F9">
        <w:rPr>
          <w:rFonts w:ascii="Arial" w:hAnsi="Arial" w:cs="Arial"/>
          <w:bCs/>
          <w:sz w:val="22"/>
          <w:szCs w:val="22"/>
        </w:rPr>
        <w:t xml:space="preserve"> </w:t>
      </w:r>
      <w:r w:rsidRPr="00AD78F9">
        <w:rPr>
          <w:rFonts w:ascii="Arial" w:eastAsiaTheme="minorHAnsi" w:hAnsi="Arial" w:cs="Arial"/>
          <w:sz w:val="22"/>
          <w:szCs w:val="22"/>
          <w:lang w:val="es-MX" w:eastAsia="en-US"/>
        </w:rPr>
        <w:t>materiales que intervengan, puestos en el lugar de su montaje, incluidos los necesarios para el</w:t>
      </w:r>
      <w:r w:rsidRPr="00AD78F9">
        <w:rPr>
          <w:rFonts w:ascii="Arial" w:hAnsi="Arial" w:cs="Arial"/>
          <w:bCs/>
          <w:sz w:val="22"/>
          <w:szCs w:val="22"/>
        </w:rPr>
        <w:t xml:space="preserve"> </w:t>
      </w:r>
      <w:r w:rsidRPr="00AD78F9">
        <w:rPr>
          <w:rFonts w:ascii="Arial" w:eastAsiaTheme="minorHAnsi" w:hAnsi="Arial" w:cs="Arial"/>
          <w:sz w:val="22"/>
          <w:szCs w:val="22"/>
          <w:lang w:val="es-MX" w:eastAsia="en-US"/>
        </w:rPr>
        <w:t xml:space="preserve">habilitado y colocación de la cimbra. </w:t>
      </w:r>
      <w:r w:rsidRPr="00AD78F9">
        <w:rPr>
          <w:rFonts w:ascii="Arial" w:hAnsi="Arial" w:cs="Arial"/>
          <w:bCs/>
          <w:sz w:val="22"/>
          <w:szCs w:val="22"/>
        </w:rPr>
        <w:t>La mano de obra para carga, descarga, acarreo libre horizontal y/o vertical, trazo, alineación y nivelación, habilitado o rehabilitado, cimbrado, descimbrado, colocación de desmoldanté, remoción de rebabas, desaparición de juntas y limpieza; el equipo y la herramienta necesarios para la correcta ejecución del trabajo; el retiro del material no utilizable de este concepto  al banco de tiro en un radio no mayor de 20 km;  se pagarán los metros cuadrados en contacto con el concreto y en general todo lo necesario para su correcta ejecución por unidad de obra terminada.</w:t>
      </w:r>
      <w:r w:rsidRPr="00AD78F9">
        <w:rPr>
          <w:rFonts w:ascii="Arial" w:eastAsiaTheme="minorHAnsi" w:hAnsi="Arial" w:cs="Arial"/>
          <w:sz w:val="22"/>
          <w:szCs w:val="22"/>
          <w:lang w:val="es-MX" w:eastAsia="en-US"/>
        </w:rPr>
        <w:t xml:space="preserve"> Todos los cargos indicados en el contrato de obras y que no se mencionan en estas especificaciones. Además de lo Indicado en el alcance del concepto.</w:t>
      </w:r>
    </w:p>
    <w:sectPr w:rsidR="00AD78F9" w:rsidRPr="00AD78F9"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C5E73">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3F8E"/>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5E73"/>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18AB-0EE7-46A5-B81A-F9F9E982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1742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3</cp:revision>
  <cp:lastPrinted>2014-02-10T15:57:00Z</cp:lastPrinted>
  <dcterms:created xsi:type="dcterms:W3CDTF">2014-04-10T20:31:00Z</dcterms:created>
  <dcterms:modified xsi:type="dcterms:W3CDTF">2014-04-10T20:31:00Z</dcterms:modified>
</cp:coreProperties>
</file>